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62E" w:rsidRDefault="0058562E"/>
    <w:p w:rsidR="006C4C87" w:rsidRDefault="006C4C87" w:rsidP="006C4C87">
      <w:pPr>
        <w:jc w:val="center"/>
        <w:rPr>
          <w:b/>
        </w:rPr>
      </w:pPr>
      <w:r>
        <w:rPr>
          <w:b/>
        </w:rPr>
        <w:t>И</w:t>
      </w:r>
      <w:r w:rsidRPr="006C4C87">
        <w:rPr>
          <w:b/>
        </w:rPr>
        <w:t>нформаци</w:t>
      </w:r>
      <w:r>
        <w:rPr>
          <w:b/>
        </w:rPr>
        <w:t>я</w:t>
      </w:r>
    </w:p>
    <w:p w:rsidR="006C4C87" w:rsidRDefault="006E75FA" w:rsidP="006C4C87">
      <w:pPr>
        <w:jc w:val="center"/>
        <w:rPr>
          <w:b/>
        </w:rPr>
      </w:pPr>
      <w:r w:rsidRPr="006C4C87">
        <w:rPr>
          <w:b/>
        </w:rPr>
        <w:t xml:space="preserve">о выполнении Национального плана противодействия коррупции </w:t>
      </w:r>
    </w:p>
    <w:p w:rsidR="00304E8D" w:rsidRDefault="006C4C87" w:rsidP="006C4C87">
      <w:pPr>
        <w:jc w:val="center"/>
        <w:rPr>
          <w:b/>
        </w:rPr>
      </w:pPr>
      <w:r>
        <w:rPr>
          <w:b/>
        </w:rPr>
        <w:t>на 2014-2015 годы</w:t>
      </w:r>
    </w:p>
    <w:p w:rsidR="006C4C87" w:rsidRDefault="006C4C87" w:rsidP="006C4C87">
      <w:pPr>
        <w:jc w:val="center"/>
        <w:rPr>
          <w:b/>
        </w:rPr>
      </w:pPr>
    </w:p>
    <w:p w:rsidR="006C4C87" w:rsidRPr="006C4C87" w:rsidRDefault="006C4C87" w:rsidP="006C4C87">
      <w:pPr>
        <w:jc w:val="center"/>
        <w:rPr>
          <w:b/>
        </w:rPr>
      </w:pPr>
    </w:p>
    <w:p w:rsidR="00A67A2F" w:rsidRDefault="00A67A2F" w:rsidP="00A67A2F">
      <w:pPr>
        <w:ind w:firstLine="720"/>
        <w:jc w:val="both"/>
      </w:pPr>
      <w:r>
        <w:t xml:space="preserve">1. В министерстве здравоохранения Калужской области функции по  профилактике коррупционных и иных правонарушений возложены на начальника управления кадровой, правовой и организационно-контрольной работы Чулкову Галину Николаевну, а также отдел кадров. </w:t>
      </w:r>
      <w:proofErr w:type="gramStart"/>
      <w:r>
        <w:t>Основными задачами указанного подразделения (должностного лица) являются профилактика коррупционных и иных правонарушений в государственном органе; принятие мер по выявлению и устранению причин и условий, способствующих возникновению конфликта интересов на государственной службе; оказание государственным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служащих;</w:t>
      </w:r>
      <w:proofErr w:type="gramEnd"/>
      <w:r>
        <w:t xml:space="preserve"> организация правового просвещения государственных служащих; </w:t>
      </w:r>
      <w:proofErr w:type="gramStart"/>
      <w:r>
        <w:t>обеспечение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службы, и государственными служащими, сведений, представляемых гражданами, претендующими на замещение должностей государственной службы, в соответствии с нормативными правовыми актами Российской Федерации, проверки соблюдения государственными служащими требований к служебному поведению, а также проверки соблюдения гражданами, замещавшими должности государственной службы, ограничений</w:t>
      </w:r>
      <w:proofErr w:type="gramEnd"/>
      <w:r>
        <w:t xml:space="preserve"> при заключении ими после ухода с государственной службы трудового договора и (или) гражданско-правового договора в случаях, предусмотренных федеральными законами и законами субъектов Российской Федерации; проведение служебных проверок; обеспечение соблюдения служащими ограничений и запретов, требований о предотвращении или урегулировании конфликта интересов, исполнения обязанностей, установленных Федеральным законом № 273-ФЗ и другими федеральными законами, а также взаимодействие с правоохранительными органами в установленной сфере деятельности.</w:t>
      </w:r>
    </w:p>
    <w:p w:rsidR="009276F7" w:rsidRDefault="009276F7" w:rsidP="009276F7">
      <w:pPr>
        <w:ind w:firstLine="720"/>
        <w:jc w:val="both"/>
      </w:pPr>
      <w:r>
        <w:t>Для проверки  сведений о доходах и о расходах государственных гражданских служащих за 2013 год кадровой службой  министерства были направлены запросы:</w:t>
      </w:r>
    </w:p>
    <w:p w:rsidR="009276F7" w:rsidRDefault="009276F7" w:rsidP="009276F7">
      <w:pPr>
        <w:ind w:firstLine="720"/>
        <w:jc w:val="both"/>
      </w:pPr>
      <w:r>
        <w:t xml:space="preserve">- в Управление федеральной службы государственной регистрации, кадастра и картографии по Калужской области о представлении информации о наличии у государственных гражданских служащих  министерства объектов недвижимого имущества, находящихся в собственности;   </w:t>
      </w:r>
    </w:p>
    <w:p w:rsidR="009276F7" w:rsidRDefault="009276F7" w:rsidP="009276F7">
      <w:pPr>
        <w:ind w:firstLine="720"/>
        <w:jc w:val="both"/>
      </w:pPr>
      <w:proofErr w:type="gramStart"/>
      <w:r>
        <w:t>- в Информационный центр УМВД России по Калужской области  о представлении информации о фактах осуждения к наказанию, исключающему возможность исполнения должностных обязанностей по должности государственной гражданской службы, по приговору суда, вступившему в законную силу;  о наличии не снятой или не погашенной в установленном федеральным законом порядке судимости в отношении государственных гражданских служащих министерства;</w:t>
      </w:r>
      <w:proofErr w:type="gramEnd"/>
    </w:p>
    <w:p w:rsidR="009276F7" w:rsidRDefault="009276F7" w:rsidP="009276F7">
      <w:pPr>
        <w:ind w:firstLine="720"/>
        <w:jc w:val="both"/>
      </w:pPr>
      <w:r>
        <w:t>- в Управление ФНС по Калужской области о представлении информации, содержащейся в Едином государственном реестре индивидуальных предпринимателей о регистрации в качестве индивидуальных предпринимателей,  и сведениях, содержащихся в Едином государственном реестре юридических лиц об участии в коммерческих организациях в отношении государственных гражданских служащих министерства;</w:t>
      </w:r>
    </w:p>
    <w:p w:rsidR="009276F7" w:rsidRDefault="009276F7" w:rsidP="009276F7">
      <w:pPr>
        <w:ind w:firstLine="720"/>
        <w:jc w:val="both"/>
      </w:pPr>
      <w:r>
        <w:t>- в Отделение Пенсионного Фонда Российской Федерации по Калужской области о представлении информации о наличии (отсутствии) доходов, полученных в 2013г. от иных работодателей, в отношении государственных гражданских служащих министерства.</w:t>
      </w:r>
    </w:p>
    <w:p w:rsidR="009276F7" w:rsidRDefault="009276F7" w:rsidP="009276F7">
      <w:pPr>
        <w:ind w:firstLine="720"/>
        <w:jc w:val="both"/>
      </w:pPr>
      <w:r>
        <w:t xml:space="preserve">На заседании комиссии по соблюдению требований к служебному поведению государственных гражданских служащих и урегулированию конфликта интересов министерства в результате сравнительного анализа проверки в отношении 1 государственного гражданского служащего применено дисциплинарное взыскание.  </w:t>
      </w:r>
    </w:p>
    <w:p w:rsidR="009276F7" w:rsidRDefault="009276F7" w:rsidP="009276F7">
      <w:pPr>
        <w:ind w:firstLine="720"/>
        <w:jc w:val="both"/>
      </w:pPr>
      <w:proofErr w:type="gramStart"/>
      <w:r>
        <w:t>Во исполнение Федерального закона от 27.07.2004 № 79-ФЗ  «О государственной гражданской службе Российской Федерации»  (статья 20) и Федерального закона от 25.12.2008 № 273-ФЗ «О противодействии коррупции» (статья 8) государственные гражданские служащие министерства  своевременно (до 30 апреля) представили в отдел кадров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t xml:space="preserve"> супруги (супруга) и несовершеннолетних за 2014г. по форме справки, утвержденной Указом Президента Российской Федерации от 23.06.2014 № 460.</w:t>
      </w:r>
    </w:p>
    <w:p w:rsidR="009276F7" w:rsidRDefault="009276F7" w:rsidP="009276F7">
      <w:pPr>
        <w:ind w:firstLine="720"/>
        <w:jc w:val="both"/>
      </w:pPr>
      <w:r>
        <w:t>Согласно приказу министерства здравоохранения Калужской области  от 18.03.2015 № 146-лс сведения о доходах, расходах, об имуществе и обязательствах имущественного характера представили 25 государственных гражданских служащих министерства, из них 1 государственный гражданский  служащий указал сведения о расходах в связи с приобретением  недвижимого  имущества (квартиры).</w:t>
      </w:r>
    </w:p>
    <w:p w:rsidR="009276F7" w:rsidRDefault="009276F7" w:rsidP="009276F7">
      <w:pPr>
        <w:ind w:firstLine="720"/>
        <w:jc w:val="both"/>
      </w:pPr>
      <w:r>
        <w:t>В результате сверки определено соответствие расходов государственных гражданских служащих их доходам по сделкам в связи с приобретением объектов недвижимости.</w:t>
      </w:r>
    </w:p>
    <w:p w:rsidR="009276F7" w:rsidRDefault="009276F7" w:rsidP="009276F7">
      <w:pPr>
        <w:ind w:firstLine="720"/>
        <w:jc w:val="both"/>
      </w:pPr>
      <w:r>
        <w:t>Сведения о доходах, об имуществе и обязательствах имущественного характера, а также сведения о расходах приобщены к личным делам государственных гражданских служащих и, в соответствии с законодательством,  размещены в информационно-телекоммуникационной сети Интернет на официальном сайте министерства.</w:t>
      </w:r>
    </w:p>
    <w:p w:rsidR="009276F7" w:rsidRDefault="009276F7" w:rsidP="009276F7">
      <w:pPr>
        <w:ind w:firstLine="720"/>
        <w:jc w:val="both"/>
      </w:pPr>
      <w:proofErr w:type="gramStart"/>
      <w:r>
        <w:t>Анализ представленных сведений о доходах и о расходах выявил, что государственные гражданские служащие министерства не имеют недвижимого имущества, находящегося за пределами территории Российской Федерации, а также не располагают счетами (вкладами) в иностранных банках, расположенных за пределами территории Российской Федерации, наличными денежными средствами и ценностями в иностранных банках, расположенных за пределами территории Российской Федерации.</w:t>
      </w:r>
      <w:proofErr w:type="gramEnd"/>
    </w:p>
    <w:p w:rsidR="009276F7" w:rsidRDefault="009276F7" w:rsidP="009276F7">
      <w:pPr>
        <w:ind w:firstLine="720"/>
        <w:jc w:val="both"/>
      </w:pPr>
      <w:r>
        <w:t xml:space="preserve">Для проведения проверки сведений, представленных государственными гражданскими служащими за 2014г., отделом кадров министерства направлены запросы: </w:t>
      </w:r>
    </w:p>
    <w:p w:rsidR="009276F7" w:rsidRDefault="009276F7" w:rsidP="009276F7">
      <w:pPr>
        <w:ind w:firstLine="720"/>
        <w:jc w:val="both"/>
      </w:pPr>
      <w:r>
        <w:t>- в Управление МВД России по Калужской области о представлении информации о транспортных средствах, находящихся в собственности у государственных гражданских служащих;</w:t>
      </w:r>
    </w:p>
    <w:p w:rsidR="006E75FA" w:rsidRDefault="009276F7" w:rsidP="009276F7">
      <w:pPr>
        <w:ind w:firstLine="720"/>
        <w:jc w:val="both"/>
      </w:pPr>
      <w:r>
        <w:t>- в КП БТИ по Калужской области о представлении информации об объектах недвижимого имущества, находящихся в собственности у государственных гражданских служащих.</w:t>
      </w:r>
    </w:p>
    <w:p w:rsidR="006E75FA" w:rsidRDefault="00A67A2F" w:rsidP="00A67A2F">
      <w:pPr>
        <w:ind w:firstLine="720"/>
        <w:jc w:val="both"/>
      </w:pPr>
      <w:r>
        <w:t>2.</w:t>
      </w:r>
      <w:r w:rsidR="006E75FA">
        <w:t xml:space="preserve"> </w:t>
      </w:r>
      <w:r w:rsidR="006E75FA" w:rsidRPr="006E75FA">
        <w:t xml:space="preserve">Обеспечивается доступ граждан к информации о деятельности министерства  в соответствии с  Федеральным законом    от    09.02.2009 № 8-ФЗ   </w:t>
      </w:r>
      <w:r w:rsidR="006E75FA">
        <w:t>«</w:t>
      </w:r>
      <w:r w:rsidR="006E75FA" w:rsidRPr="006E75FA">
        <w:t>Об    обеспечении доступа  к   информации   о деятельности государственных  органов  и ор</w:t>
      </w:r>
      <w:r w:rsidR="006E75FA">
        <w:t>ганов   местного самоуправления»</w:t>
      </w:r>
      <w:r w:rsidR="006E75FA" w:rsidRPr="006E75FA">
        <w:t xml:space="preserve">  - информация о министерстве здравоохранения области и его деятельности представлена на сайте органов государственной власти Калужской области, регулярно происходит ее обновление.</w:t>
      </w:r>
    </w:p>
    <w:p w:rsidR="006E75FA" w:rsidRDefault="006E75FA" w:rsidP="006E75FA">
      <w:pPr>
        <w:ind w:firstLine="720"/>
        <w:jc w:val="both"/>
      </w:pPr>
      <w:r>
        <w:t xml:space="preserve">На официальной странице министерства здравоохранения области  имеется раздел «Противодействие коррупции», в котором размещены приказы министерства здравоохранения Калужской области, регулирующие деятельность комиссии по соблюдению требований к служебному поведению и урегулированию конфликта интересов, план противодействия коррупции в министерстве здравоохранения области и другие документы по данному вопросу. </w:t>
      </w:r>
    </w:p>
    <w:p w:rsidR="006E75FA" w:rsidRDefault="006E75FA" w:rsidP="006E75FA">
      <w:pPr>
        <w:ind w:firstLine="720"/>
        <w:jc w:val="both"/>
      </w:pPr>
      <w:proofErr w:type="gramStart"/>
      <w:r>
        <w:t>Структура  раздела сайта «Противодействие коррупции» сформирована в соответствии с рекомендациями,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и </w:t>
      </w:r>
      <w:proofErr w:type="gramStart"/>
      <w:r>
        <w:t>требованиях</w:t>
      </w:r>
      <w:proofErr w:type="gramEnd"/>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6E75FA" w:rsidRDefault="006E75FA" w:rsidP="00A67A2F">
      <w:pPr>
        <w:ind w:firstLine="720"/>
        <w:jc w:val="both"/>
      </w:pPr>
      <w:r>
        <w:t>3. О мерах по антикоррупционному п</w:t>
      </w:r>
      <w:r w:rsidR="00C86797">
        <w:t>росвещению сотрудников, граждан:</w:t>
      </w:r>
    </w:p>
    <w:p w:rsidR="006E75FA" w:rsidRDefault="009276F7" w:rsidP="00A67A2F">
      <w:pPr>
        <w:ind w:firstLine="720"/>
        <w:jc w:val="both"/>
      </w:pPr>
      <w:r>
        <w:t>По вопросам противодействия коррупции г</w:t>
      </w:r>
      <w:r w:rsidR="006E75FA" w:rsidRPr="006E75FA">
        <w:t>осударственным гражданским служащим министерства управлением кадровой, правовой и организационно-контрольной работы оказывается консультативная помощь при обращении, а также в форме обучающих семинаров.</w:t>
      </w:r>
    </w:p>
    <w:p w:rsidR="00A67A2F" w:rsidRDefault="00A67A2F" w:rsidP="009276F7">
      <w:pPr>
        <w:ind w:firstLine="720"/>
        <w:jc w:val="both"/>
      </w:pPr>
      <w:r>
        <w:t xml:space="preserve"> 10 июня 2014 года проведен обучающий семинар, на котором государственным гражданским служащим были разъяснены понятие коррупции, ограничения и запреты, связанные с прохождением государственной гражданской службы, а также обсуждались типичные ошибки при заполнении справок о доходах,  об имуществе и обязательствах имущественного характера, а также справок  о расходах. </w:t>
      </w:r>
      <w:proofErr w:type="gramStart"/>
      <w:r>
        <w:t>Государственные служащие также были ознакомлены с постановлением Губернатора Калужской области от 28.02.2014 № 85 «О реализации в органах исполнительной власти Калужской области отдельных вопросов порядка сообщения лицами, замещающими государственные должности Калужской области, государственными служащими Калужской области о получении подарка в связи с их должностным положением или исполнением ими должностных обязанностей, сдачи и оценки подарка, реализации (выкупа) и зачисления средств, вырученных от</w:t>
      </w:r>
      <w:proofErr w:type="gramEnd"/>
      <w:r>
        <w:t xml:space="preserve"> его реализации».</w:t>
      </w:r>
    </w:p>
    <w:p w:rsidR="00A67A2F" w:rsidRDefault="00C86797" w:rsidP="00A67A2F">
      <w:pPr>
        <w:ind w:firstLine="720"/>
        <w:jc w:val="both"/>
      </w:pPr>
      <w:r>
        <w:t>В феврале  2015 года</w:t>
      </w:r>
      <w:r w:rsidR="00A67A2F">
        <w:t xml:space="preserve"> управлением кадровой, правовой и организационно-контрольной работы министерства был организован семинар «Представление сведений о доходах, расходах, об имуществе и обязательствах имущественного характера»,  на котором государственные гражданские служащие министерства были ознакомлены:</w:t>
      </w:r>
    </w:p>
    <w:p w:rsidR="00A67A2F" w:rsidRDefault="00C86797" w:rsidP="00A67A2F">
      <w:pPr>
        <w:ind w:firstLine="720"/>
        <w:jc w:val="both"/>
      </w:pPr>
      <w:r>
        <w:t xml:space="preserve">- </w:t>
      </w:r>
      <w:r w:rsidR="00A67A2F">
        <w:t>с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A67A2F" w:rsidRDefault="00C86797" w:rsidP="00A67A2F">
      <w:pPr>
        <w:ind w:firstLine="720"/>
        <w:jc w:val="both"/>
      </w:pPr>
      <w:proofErr w:type="gramStart"/>
      <w:r>
        <w:t xml:space="preserve">- </w:t>
      </w:r>
      <w:r w:rsidR="00A67A2F">
        <w:t>с приказом министерства здравоохранения Калужской области от 18.03.2015 № 146-лс «О внесении изменений в приказ министерства здравоохранения Калужской области от 29.10.2009 № 533-лс «Об утверждении перечня должностей государственной гражданской службы Калужской области, при назначении на которые граждане и при замещении которых государственные гражданские служащие министерства здравоохранения Калужской области обязаны представлять сведения о своих доходах, об имуществе и обязательствах имущественного характера, а также</w:t>
      </w:r>
      <w:proofErr w:type="gramEnd"/>
      <w:r w:rsidR="00A67A2F">
        <w:t xml:space="preserve"> сведения о доходах, об имуществе и обязательствах имущественного характера своих супруги (супруга), несовершеннолетних детей (в ред. приказа министерства здравоохранения Калужской области от 02.12.2014 № 647-лс)»;</w:t>
      </w:r>
    </w:p>
    <w:p w:rsidR="00A67A2F" w:rsidRDefault="009276F7" w:rsidP="00A67A2F">
      <w:pPr>
        <w:ind w:firstLine="720"/>
        <w:jc w:val="both"/>
      </w:pPr>
      <w:r>
        <w:t>-</w:t>
      </w:r>
      <w:r w:rsidR="00A67A2F">
        <w:t xml:space="preserve"> с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формы справки, утвержденной Указом Президента Российской Федерации от 23.06.2014 № 460;</w:t>
      </w:r>
    </w:p>
    <w:p w:rsidR="00A67A2F" w:rsidRDefault="00C86797" w:rsidP="00A67A2F">
      <w:pPr>
        <w:ind w:firstLine="720"/>
        <w:jc w:val="both"/>
      </w:pPr>
      <w:r>
        <w:t xml:space="preserve">- </w:t>
      </w:r>
      <w:r w:rsidR="00A67A2F">
        <w:t>с результатами проверок  сведений о доходах и о расходах за 2013</w:t>
      </w:r>
      <w:r>
        <w:t xml:space="preserve"> </w:t>
      </w:r>
      <w:r w:rsidR="00A67A2F">
        <w:t>г</w:t>
      </w:r>
      <w:r>
        <w:t>од.</w:t>
      </w:r>
    </w:p>
    <w:p w:rsidR="009276F7" w:rsidRDefault="009276F7" w:rsidP="00A67A2F">
      <w:pPr>
        <w:ind w:firstLine="720"/>
        <w:jc w:val="both"/>
      </w:pPr>
    </w:p>
    <w:p w:rsidR="009276F7" w:rsidRDefault="009276F7" w:rsidP="00A67A2F">
      <w:pPr>
        <w:ind w:firstLine="720"/>
        <w:jc w:val="both"/>
      </w:pPr>
    </w:p>
    <w:p w:rsidR="000B4266" w:rsidRDefault="000B4266" w:rsidP="00190A2B">
      <w:pPr>
        <w:jc w:val="both"/>
      </w:pPr>
    </w:p>
    <w:p w:rsidR="00033AC3" w:rsidRDefault="00033AC3" w:rsidP="00190A2B">
      <w:pPr>
        <w:jc w:val="both"/>
      </w:pPr>
    </w:p>
    <w:p w:rsidR="00033AC3" w:rsidRDefault="00033AC3" w:rsidP="00190A2B">
      <w:pPr>
        <w:jc w:val="both"/>
      </w:pPr>
    </w:p>
    <w:p w:rsidR="00304E8D" w:rsidRDefault="00304E8D" w:rsidP="00190A2B">
      <w:pPr>
        <w:jc w:val="both"/>
      </w:pPr>
    </w:p>
    <w:p w:rsidR="00310A8C" w:rsidRDefault="00310A8C" w:rsidP="00190A2B">
      <w:pPr>
        <w:jc w:val="both"/>
        <w:rPr>
          <w:b/>
        </w:rPr>
      </w:pPr>
    </w:p>
    <w:p w:rsidR="00310A8C" w:rsidRDefault="00310A8C" w:rsidP="00190A2B">
      <w:pPr>
        <w:jc w:val="both"/>
        <w:rPr>
          <w:b/>
        </w:rPr>
      </w:pPr>
    </w:p>
    <w:p w:rsidR="00310A8C" w:rsidRDefault="00310A8C" w:rsidP="00190A2B">
      <w:pPr>
        <w:jc w:val="both"/>
        <w:rPr>
          <w:b/>
        </w:rPr>
      </w:pPr>
    </w:p>
    <w:p w:rsidR="00310A8C" w:rsidRDefault="00310A8C" w:rsidP="00190A2B">
      <w:pPr>
        <w:jc w:val="both"/>
        <w:rPr>
          <w:b/>
        </w:rPr>
      </w:pPr>
    </w:p>
    <w:p w:rsidR="00310A8C" w:rsidRDefault="00310A8C" w:rsidP="00190A2B">
      <w:pPr>
        <w:jc w:val="both"/>
        <w:rPr>
          <w:b/>
        </w:rPr>
      </w:pPr>
    </w:p>
    <w:p w:rsidR="00310A8C" w:rsidRDefault="00310A8C" w:rsidP="00190A2B">
      <w:pPr>
        <w:jc w:val="both"/>
        <w:rPr>
          <w:b/>
        </w:rPr>
      </w:pPr>
    </w:p>
    <w:p w:rsidR="00310A8C" w:rsidRDefault="00310A8C" w:rsidP="00190A2B">
      <w:pPr>
        <w:jc w:val="both"/>
        <w:rPr>
          <w:b/>
        </w:rPr>
      </w:pPr>
    </w:p>
    <w:p w:rsidR="00310A8C" w:rsidRDefault="00310A8C" w:rsidP="00190A2B">
      <w:pPr>
        <w:jc w:val="both"/>
        <w:rPr>
          <w:b/>
        </w:rPr>
      </w:pPr>
    </w:p>
    <w:p w:rsidR="00310A8C" w:rsidRDefault="00310A8C" w:rsidP="00190A2B">
      <w:pPr>
        <w:jc w:val="both"/>
        <w:rPr>
          <w:b/>
        </w:rPr>
      </w:pPr>
    </w:p>
    <w:p w:rsidR="00310A8C" w:rsidRDefault="00310A8C" w:rsidP="00190A2B">
      <w:pPr>
        <w:jc w:val="both"/>
        <w:rPr>
          <w:b/>
        </w:rPr>
      </w:pPr>
    </w:p>
    <w:p w:rsidR="00310A8C" w:rsidRDefault="00310A8C" w:rsidP="00190A2B">
      <w:pPr>
        <w:jc w:val="both"/>
        <w:rPr>
          <w:b/>
        </w:rPr>
      </w:pPr>
    </w:p>
    <w:p w:rsidR="00140141" w:rsidRDefault="00140141" w:rsidP="00190A2B">
      <w:pPr>
        <w:jc w:val="both"/>
        <w:rPr>
          <w:b/>
        </w:rPr>
      </w:pPr>
    </w:p>
    <w:p w:rsidR="00C86797" w:rsidRDefault="00C86797" w:rsidP="00190A2B">
      <w:pPr>
        <w:jc w:val="both"/>
        <w:rPr>
          <w:b/>
        </w:rPr>
      </w:pPr>
    </w:p>
    <w:sectPr w:rsidR="00C86797" w:rsidSect="0077652B">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3A00"/>
    <w:multiLevelType w:val="hybridMultilevel"/>
    <w:tmpl w:val="BB6A6498"/>
    <w:lvl w:ilvl="0" w:tplc="04190001">
      <w:start w:val="1"/>
      <w:numFmt w:val="bullet"/>
      <w:lvlText w:val=""/>
      <w:lvlJc w:val="left"/>
      <w:pPr>
        <w:tabs>
          <w:tab w:val="num" w:pos="1359"/>
        </w:tabs>
        <w:ind w:left="1359" w:hanging="360"/>
      </w:pPr>
      <w:rPr>
        <w:rFonts w:ascii="Symbol" w:hAnsi="Symbol" w:hint="default"/>
      </w:rPr>
    </w:lvl>
    <w:lvl w:ilvl="1" w:tplc="04190003" w:tentative="1">
      <w:start w:val="1"/>
      <w:numFmt w:val="bullet"/>
      <w:lvlText w:val="o"/>
      <w:lvlJc w:val="left"/>
      <w:pPr>
        <w:tabs>
          <w:tab w:val="num" w:pos="2079"/>
        </w:tabs>
        <w:ind w:left="2079" w:hanging="360"/>
      </w:pPr>
      <w:rPr>
        <w:rFonts w:ascii="Courier New" w:hAnsi="Courier New" w:cs="Courier New" w:hint="default"/>
      </w:rPr>
    </w:lvl>
    <w:lvl w:ilvl="2" w:tplc="04190005" w:tentative="1">
      <w:start w:val="1"/>
      <w:numFmt w:val="bullet"/>
      <w:lvlText w:val=""/>
      <w:lvlJc w:val="left"/>
      <w:pPr>
        <w:tabs>
          <w:tab w:val="num" w:pos="2799"/>
        </w:tabs>
        <w:ind w:left="2799" w:hanging="360"/>
      </w:pPr>
      <w:rPr>
        <w:rFonts w:ascii="Wingdings" w:hAnsi="Wingdings" w:hint="default"/>
      </w:rPr>
    </w:lvl>
    <w:lvl w:ilvl="3" w:tplc="04190001" w:tentative="1">
      <w:start w:val="1"/>
      <w:numFmt w:val="bullet"/>
      <w:lvlText w:val=""/>
      <w:lvlJc w:val="left"/>
      <w:pPr>
        <w:tabs>
          <w:tab w:val="num" w:pos="3519"/>
        </w:tabs>
        <w:ind w:left="3519" w:hanging="360"/>
      </w:pPr>
      <w:rPr>
        <w:rFonts w:ascii="Symbol" w:hAnsi="Symbol" w:hint="default"/>
      </w:rPr>
    </w:lvl>
    <w:lvl w:ilvl="4" w:tplc="04190003" w:tentative="1">
      <w:start w:val="1"/>
      <w:numFmt w:val="bullet"/>
      <w:lvlText w:val="o"/>
      <w:lvlJc w:val="left"/>
      <w:pPr>
        <w:tabs>
          <w:tab w:val="num" w:pos="4239"/>
        </w:tabs>
        <w:ind w:left="4239" w:hanging="360"/>
      </w:pPr>
      <w:rPr>
        <w:rFonts w:ascii="Courier New" w:hAnsi="Courier New" w:cs="Courier New" w:hint="default"/>
      </w:rPr>
    </w:lvl>
    <w:lvl w:ilvl="5" w:tplc="04190005" w:tentative="1">
      <w:start w:val="1"/>
      <w:numFmt w:val="bullet"/>
      <w:lvlText w:val=""/>
      <w:lvlJc w:val="left"/>
      <w:pPr>
        <w:tabs>
          <w:tab w:val="num" w:pos="4959"/>
        </w:tabs>
        <w:ind w:left="4959" w:hanging="360"/>
      </w:pPr>
      <w:rPr>
        <w:rFonts w:ascii="Wingdings" w:hAnsi="Wingdings" w:hint="default"/>
      </w:rPr>
    </w:lvl>
    <w:lvl w:ilvl="6" w:tplc="04190001" w:tentative="1">
      <w:start w:val="1"/>
      <w:numFmt w:val="bullet"/>
      <w:lvlText w:val=""/>
      <w:lvlJc w:val="left"/>
      <w:pPr>
        <w:tabs>
          <w:tab w:val="num" w:pos="5679"/>
        </w:tabs>
        <w:ind w:left="5679" w:hanging="360"/>
      </w:pPr>
      <w:rPr>
        <w:rFonts w:ascii="Symbol" w:hAnsi="Symbol" w:hint="default"/>
      </w:rPr>
    </w:lvl>
    <w:lvl w:ilvl="7" w:tplc="04190003" w:tentative="1">
      <w:start w:val="1"/>
      <w:numFmt w:val="bullet"/>
      <w:lvlText w:val="o"/>
      <w:lvlJc w:val="left"/>
      <w:pPr>
        <w:tabs>
          <w:tab w:val="num" w:pos="6399"/>
        </w:tabs>
        <w:ind w:left="6399" w:hanging="360"/>
      </w:pPr>
      <w:rPr>
        <w:rFonts w:ascii="Courier New" w:hAnsi="Courier New" w:cs="Courier New" w:hint="default"/>
      </w:rPr>
    </w:lvl>
    <w:lvl w:ilvl="8" w:tplc="04190005" w:tentative="1">
      <w:start w:val="1"/>
      <w:numFmt w:val="bullet"/>
      <w:lvlText w:val=""/>
      <w:lvlJc w:val="left"/>
      <w:pPr>
        <w:tabs>
          <w:tab w:val="num" w:pos="7119"/>
        </w:tabs>
        <w:ind w:left="711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3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1151"/>
    <w:rsid w:val="00021B56"/>
    <w:rsid w:val="00033AC3"/>
    <w:rsid w:val="00035BAB"/>
    <w:rsid w:val="00045511"/>
    <w:rsid w:val="00055512"/>
    <w:rsid w:val="000832AB"/>
    <w:rsid w:val="000A65A7"/>
    <w:rsid w:val="000B3FC3"/>
    <w:rsid w:val="000B4266"/>
    <w:rsid w:val="000B5784"/>
    <w:rsid w:val="000C52E8"/>
    <w:rsid w:val="001138FF"/>
    <w:rsid w:val="00113DE4"/>
    <w:rsid w:val="00115B9F"/>
    <w:rsid w:val="00121382"/>
    <w:rsid w:val="001311B9"/>
    <w:rsid w:val="00131D79"/>
    <w:rsid w:val="0013587F"/>
    <w:rsid w:val="00140141"/>
    <w:rsid w:val="0014424D"/>
    <w:rsid w:val="001608F9"/>
    <w:rsid w:val="00165B5C"/>
    <w:rsid w:val="00186AD7"/>
    <w:rsid w:val="00190A2B"/>
    <w:rsid w:val="001918F4"/>
    <w:rsid w:val="001C462F"/>
    <w:rsid w:val="001D1151"/>
    <w:rsid w:val="00244D2E"/>
    <w:rsid w:val="00287C95"/>
    <w:rsid w:val="00294FBB"/>
    <w:rsid w:val="00295573"/>
    <w:rsid w:val="002B3665"/>
    <w:rsid w:val="002C034A"/>
    <w:rsid w:val="002E7522"/>
    <w:rsid w:val="002F551F"/>
    <w:rsid w:val="00304E8D"/>
    <w:rsid w:val="00310A8C"/>
    <w:rsid w:val="00326C74"/>
    <w:rsid w:val="003321D8"/>
    <w:rsid w:val="0033532C"/>
    <w:rsid w:val="003555D3"/>
    <w:rsid w:val="003570F1"/>
    <w:rsid w:val="00363A26"/>
    <w:rsid w:val="00390D7B"/>
    <w:rsid w:val="00393D5F"/>
    <w:rsid w:val="00394BF7"/>
    <w:rsid w:val="00395A48"/>
    <w:rsid w:val="00402B0B"/>
    <w:rsid w:val="00403F16"/>
    <w:rsid w:val="00432E30"/>
    <w:rsid w:val="00432EA1"/>
    <w:rsid w:val="00451535"/>
    <w:rsid w:val="00485E98"/>
    <w:rsid w:val="004C3385"/>
    <w:rsid w:val="004C6F4B"/>
    <w:rsid w:val="004D6D31"/>
    <w:rsid w:val="00506ADD"/>
    <w:rsid w:val="00527835"/>
    <w:rsid w:val="005420C4"/>
    <w:rsid w:val="005648DD"/>
    <w:rsid w:val="005736B3"/>
    <w:rsid w:val="00576608"/>
    <w:rsid w:val="005811FC"/>
    <w:rsid w:val="0058562E"/>
    <w:rsid w:val="005C3618"/>
    <w:rsid w:val="005E1B80"/>
    <w:rsid w:val="00616284"/>
    <w:rsid w:val="0066261E"/>
    <w:rsid w:val="00671B30"/>
    <w:rsid w:val="0068172C"/>
    <w:rsid w:val="00695330"/>
    <w:rsid w:val="006C4C87"/>
    <w:rsid w:val="006C61B0"/>
    <w:rsid w:val="006C70D6"/>
    <w:rsid w:val="006D0E19"/>
    <w:rsid w:val="006D7859"/>
    <w:rsid w:val="006E75FA"/>
    <w:rsid w:val="007025AE"/>
    <w:rsid w:val="007034DF"/>
    <w:rsid w:val="00706B56"/>
    <w:rsid w:val="00710221"/>
    <w:rsid w:val="007275CB"/>
    <w:rsid w:val="00750672"/>
    <w:rsid w:val="007547DD"/>
    <w:rsid w:val="00760577"/>
    <w:rsid w:val="0077652B"/>
    <w:rsid w:val="00790AC6"/>
    <w:rsid w:val="007A758F"/>
    <w:rsid w:val="007B574D"/>
    <w:rsid w:val="007C032C"/>
    <w:rsid w:val="007C542B"/>
    <w:rsid w:val="007E070F"/>
    <w:rsid w:val="007E3688"/>
    <w:rsid w:val="007E5E99"/>
    <w:rsid w:val="007F0C17"/>
    <w:rsid w:val="00843AC5"/>
    <w:rsid w:val="0084792C"/>
    <w:rsid w:val="00852476"/>
    <w:rsid w:val="00865A85"/>
    <w:rsid w:val="00877A01"/>
    <w:rsid w:val="00886E9B"/>
    <w:rsid w:val="008B6BA9"/>
    <w:rsid w:val="008C0E08"/>
    <w:rsid w:val="008C2CEF"/>
    <w:rsid w:val="008D0331"/>
    <w:rsid w:val="00924C35"/>
    <w:rsid w:val="009276F7"/>
    <w:rsid w:val="0093560F"/>
    <w:rsid w:val="00950BAB"/>
    <w:rsid w:val="009576A3"/>
    <w:rsid w:val="009B24CA"/>
    <w:rsid w:val="009B2B14"/>
    <w:rsid w:val="00A0673E"/>
    <w:rsid w:val="00A15493"/>
    <w:rsid w:val="00A5181C"/>
    <w:rsid w:val="00A56CC7"/>
    <w:rsid w:val="00A56D0C"/>
    <w:rsid w:val="00A610E2"/>
    <w:rsid w:val="00A66382"/>
    <w:rsid w:val="00A67A2F"/>
    <w:rsid w:val="00A877A2"/>
    <w:rsid w:val="00AA2954"/>
    <w:rsid w:val="00AD013E"/>
    <w:rsid w:val="00AD5087"/>
    <w:rsid w:val="00AE3493"/>
    <w:rsid w:val="00B33EE3"/>
    <w:rsid w:val="00B54506"/>
    <w:rsid w:val="00B67737"/>
    <w:rsid w:val="00B75ABE"/>
    <w:rsid w:val="00BA13A1"/>
    <w:rsid w:val="00BD4E5B"/>
    <w:rsid w:val="00BD4FAD"/>
    <w:rsid w:val="00C048C6"/>
    <w:rsid w:val="00C16965"/>
    <w:rsid w:val="00C2228B"/>
    <w:rsid w:val="00C309BC"/>
    <w:rsid w:val="00C409AA"/>
    <w:rsid w:val="00C46CA4"/>
    <w:rsid w:val="00C61134"/>
    <w:rsid w:val="00C86797"/>
    <w:rsid w:val="00C90421"/>
    <w:rsid w:val="00CD2B29"/>
    <w:rsid w:val="00D37633"/>
    <w:rsid w:val="00D42DE8"/>
    <w:rsid w:val="00D8171D"/>
    <w:rsid w:val="00D90A7C"/>
    <w:rsid w:val="00DA2C51"/>
    <w:rsid w:val="00DA52B2"/>
    <w:rsid w:val="00DF2155"/>
    <w:rsid w:val="00E00459"/>
    <w:rsid w:val="00E416AE"/>
    <w:rsid w:val="00E41962"/>
    <w:rsid w:val="00E4233E"/>
    <w:rsid w:val="00E43EE5"/>
    <w:rsid w:val="00E46820"/>
    <w:rsid w:val="00E55F27"/>
    <w:rsid w:val="00E65B7C"/>
    <w:rsid w:val="00E676F0"/>
    <w:rsid w:val="00E67EC7"/>
    <w:rsid w:val="00E95E86"/>
    <w:rsid w:val="00EA3406"/>
    <w:rsid w:val="00EA70D7"/>
    <w:rsid w:val="00EC48B2"/>
    <w:rsid w:val="00ED5065"/>
    <w:rsid w:val="00F117D0"/>
    <w:rsid w:val="00F32598"/>
    <w:rsid w:val="00F4711C"/>
    <w:rsid w:val="00F5716E"/>
    <w:rsid w:val="00F6383A"/>
    <w:rsid w:val="00F643AA"/>
    <w:rsid w:val="00FE5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szCs w:val="26"/>
    </w:rPr>
  </w:style>
  <w:style w:type="paragraph" w:styleId="1">
    <w:name w:val="heading 1"/>
    <w:basedOn w:val="a"/>
    <w:next w:val="a"/>
    <w:qFormat/>
    <w:rsid w:val="00186AD7"/>
    <w:pPr>
      <w:keepNext/>
      <w:framePr w:hSpace="142" w:wrap="around" w:vAnchor="page" w:hAnchor="page" w:x="1420" w:y="851"/>
      <w:jc w:val="center"/>
      <w:outlineLvl w:val="0"/>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86AD7"/>
    <w:pPr>
      <w:framePr w:hSpace="142" w:wrap="around" w:vAnchor="page" w:hAnchor="page" w:x="1420" w:y="851"/>
      <w:jc w:val="center"/>
    </w:pPr>
    <w:rPr>
      <w:rFonts w:ascii="Arial" w:hAnsi="Arial"/>
      <w:b/>
      <w:sz w:val="22"/>
      <w:szCs w:val="20"/>
    </w:rPr>
  </w:style>
  <w:style w:type="character" w:styleId="a4">
    <w:name w:val="Hyperlink"/>
    <w:rsid w:val="00865A85"/>
    <w:rPr>
      <w:color w:val="0000FF"/>
      <w:u w:val="single"/>
    </w:rPr>
  </w:style>
  <w:style w:type="paragraph" w:styleId="a5">
    <w:name w:val="Balloon Text"/>
    <w:basedOn w:val="a"/>
    <w:semiHidden/>
    <w:rsid w:val="008D03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uglikova\AppData\Roaming\Microsoft\Templates\&#1041;&#1083;&#1072;&#1085;&#1082;%20&#1084;&#1080;&#1085;&#1079;&#1076;&#1088;&#1072;&#107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минздрав</Template>
  <TotalTime>13</TotalTime>
  <Pages>1</Pages>
  <Words>1589</Words>
  <Characters>9060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КАЛУЖСКАЯ ОБЛАСТЬ</vt:lpstr>
    </vt:vector>
  </TitlesOfParts>
  <Company>dzlo</Company>
  <LinksUpToDate>false</LinksUpToDate>
  <CharactersWithSpaces>10628</CharactersWithSpaces>
  <SharedDoc>false</SharedDoc>
  <HLinks>
    <vt:vector size="12" baseType="variant">
      <vt:variant>
        <vt:i4>3997732</vt:i4>
      </vt:variant>
      <vt:variant>
        <vt:i4>3</vt:i4>
      </vt:variant>
      <vt:variant>
        <vt:i4>0</vt:i4>
      </vt:variant>
      <vt:variant>
        <vt:i4>5</vt:i4>
      </vt:variant>
      <vt:variant>
        <vt:lpwstr>http://www.admoblkaluga.ru/sub/health/</vt:lpwstr>
      </vt:variant>
      <vt:variant>
        <vt:lpwstr/>
      </vt:variant>
      <vt:variant>
        <vt:i4>2818114</vt:i4>
      </vt:variant>
      <vt:variant>
        <vt:i4>0</vt:i4>
      </vt:variant>
      <vt:variant>
        <vt:i4>0</vt:i4>
      </vt:variant>
      <vt:variant>
        <vt:i4>5</vt:i4>
      </vt:variant>
      <vt:variant>
        <vt:lpwstr>mailto:zdrav@adm.kaluga.ru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КАЛУЖСКАЯ ОБЛАСТЬ</dc:title>
  <dc:creator>Кругликова Мария Евгеньевна</dc:creator>
  <cp:lastModifiedBy>Кругликова Мария Евгеньевна</cp:lastModifiedBy>
  <cp:revision>3</cp:revision>
  <cp:lastPrinted>2013-09-09T08:01:00Z</cp:lastPrinted>
  <dcterms:created xsi:type="dcterms:W3CDTF">2016-08-11T09:13:00Z</dcterms:created>
  <dcterms:modified xsi:type="dcterms:W3CDTF">2016-08-11T09:15:00Z</dcterms:modified>
</cp:coreProperties>
</file>